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 xml:space="preserve"> </w:t>
      </w:r>
    </w:p>
    <w:p>
      <w:pPr>
        <w:ind w:firstLine="221" w:firstLineChars="50"/>
        <w:rPr>
          <w:rFonts w:hint="eastAsia"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2016年广东省社科联部门预算情况说明</w:t>
      </w:r>
    </w:p>
    <w:p>
      <w:pPr>
        <w:rPr>
          <w:rFonts w:hint="eastAsia" w:ascii="黑体" w:hAnsi="黑体" w:eastAsia="黑体" w:cs="宋体"/>
          <w:sz w:val="32"/>
          <w:szCs w:val="32"/>
        </w:rPr>
      </w:pP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一、广东省社会科学界联合会部门情况</w:t>
      </w:r>
    </w:p>
    <w:p>
      <w:pPr>
        <w:ind w:firstLine="412" w:firstLineChars="147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（一）基本情况。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1、部门职能。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（1）依法对本省全省性社会科学学术性社会团体、民办社科研究机构、社会科学类基金会及学科研究基地进行指导和管理；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（2）开展社会科学普及工作，推进社会科学普及基地建设，组织和开展社会科学知识培训、咨询服务活动；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（3）指导和协调大型企业、高等院校、地级以上市等社科联工作，加强与党校、高等院校、社科院等具有社会科学职能机构的联系和协作；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（4）组织开展决策咨询服务工作，为党和政府及企事业单位、社会组织的科学决策、民主决策提供智力支持，促进社会科学研究为社会服务；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（5）受省政府委托组织开展全省哲学社会科学研究优秀成果的评奖活动；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（6）承担我省社科规划制订及社科规划项目落实的组织催办工作；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（7）开展和指导社会科学学术研究活动，编辑出版社会科学著作及学术作品，组织重大社会科学科研项目的联合攻关，促进国内外学术交流；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 xml:space="preserve">（8）编辑出版本会会刊《学术研究》和其他刊物、资料； 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（9）促进学术团体之间、学科之间、社会科学与自然科学之间、理论研究部门与实际工作部门之间的联系与协作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（10）促进社会科学学科发展，推动广东社会科学大学建设，推动重点学科及人文社会科学重点研究基地建设，培养造就社会科学人才，壮大社会科学队伍；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（11）反映社会科学工作者的意见和要求，维护本会所代表的社会科学工作者及其团体的合法权益；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（12）完成省委、省政府交办的其他有关任务和事项。</w:t>
      </w:r>
    </w:p>
    <w:p>
      <w:pPr>
        <w:ind w:firstLine="700" w:firstLineChars="25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2、机构设置及人员构成情况。</w:t>
      </w:r>
    </w:p>
    <w:p>
      <w:pPr>
        <w:ind w:firstLine="645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广东省社会科学界联合会设有办公室、学术规划部、社团联络部等工作部门，有两个直属事业单位：学术研究杂志社和广东社会科学大学，还有一个代管事业单位：广东省反邪教协会。</w:t>
      </w:r>
    </w:p>
    <w:p>
      <w:pPr>
        <w:ind w:firstLine="645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ascii="仿宋" w:hAnsi="仿宋" w:eastAsia="仿宋" w:cs="宋体"/>
          <w:color w:val="000000"/>
          <w:sz w:val="28"/>
          <w:szCs w:val="28"/>
        </w:rPr>
        <w:t>本部机关共有参照公务员管理的事业编制23人，离退休人员25人。直属单位核拨事业编制26人，实有20人，离退休人员13人；直属单位核补事业编制30人，实有17人，离退休人员5人。广东省反邪教协会事业编制3人，实有2人。</w:t>
      </w:r>
    </w:p>
    <w:p>
      <w:pPr>
        <w:snapToGrid w:val="0"/>
        <w:spacing w:line="588" w:lineRule="exact"/>
        <w:ind w:firstLine="560" w:firstLineChars="200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二、2016年收入和支出总体情况</w:t>
      </w:r>
    </w:p>
    <w:p>
      <w:pPr>
        <w:snapToGrid w:val="0"/>
        <w:spacing w:line="588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2016年部门总收入预算2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927.96</w:t>
      </w:r>
      <w:r>
        <w:rPr>
          <w:rFonts w:ascii="仿宋" w:hAnsi="仿宋" w:eastAsia="仿宋" w:cs="Times New Roman"/>
          <w:sz w:val="28"/>
          <w:szCs w:val="28"/>
        </w:rPr>
        <w:t>万元；其中：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一般</w:t>
      </w:r>
      <w:r>
        <w:rPr>
          <w:rFonts w:ascii="仿宋" w:hAnsi="仿宋" w:eastAsia="仿宋" w:cs="Times New Roman"/>
          <w:sz w:val="28"/>
          <w:szCs w:val="28"/>
        </w:rPr>
        <w:t>公共预算拨款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2927.96</w:t>
      </w:r>
      <w:r>
        <w:rPr>
          <w:rFonts w:ascii="仿宋" w:hAnsi="仿宋" w:eastAsia="仿宋" w:cs="Times New Roman"/>
          <w:sz w:val="28"/>
          <w:szCs w:val="28"/>
        </w:rPr>
        <w:t>万元。</w:t>
      </w:r>
    </w:p>
    <w:p>
      <w:pPr>
        <w:snapToGrid w:val="0"/>
        <w:spacing w:line="588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2016年部门总支出预算2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927.96</w:t>
      </w:r>
      <w:r>
        <w:rPr>
          <w:rFonts w:ascii="仿宋" w:hAnsi="仿宋" w:eastAsia="仿宋" w:cs="Times New Roman"/>
          <w:sz w:val="28"/>
          <w:szCs w:val="28"/>
        </w:rPr>
        <w:t>万元；其中:基本支出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1223.96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ascii="仿宋" w:hAnsi="仿宋" w:eastAsia="仿宋" w:cs="Times New Roman"/>
          <w:sz w:val="28"/>
          <w:szCs w:val="28"/>
        </w:rPr>
        <w:t>项目支出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1704</w:t>
      </w:r>
      <w:r>
        <w:rPr>
          <w:rFonts w:ascii="仿宋" w:hAnsi="仿宋" w:eastAsia="仿宋" w:cs="Times New Roman"/>
          <w:sz w:val="28"/>
          <w:szCs w:val="28"/>
        </w:rPr>
        <w:t>万元。</w:t>
      </w:r>
    </w:p>
    <w:p>
      <w:pPr>
        <w:snapToGrid w:val="0"/>
        <w:spacing w:line="588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三、2016年预算支出主要内容</w:t>
      </w:r>
    </w:p>
    <w:p>
      <w:pPr>
        <w:snapToGrid w:val="0"/>
        <w:spacing w:line="588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ascii="仿宋" w:hAnsi="仿宋" w:eastAsia="仿宋" w:cs="Times New Roman"/>
          <w:sz w:val="28"/>
          <w:szCs w:val="28"/>
        </w:rPr>
        <w:t>按支出项目分类：工资福利支出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886.33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ascii="仿宋" w:hAnsi="仿宋" w:eastAsia="仿宋" w:cs="Times New Roman"/>
          <w:sz w:val="28"/>
          <w:szCs w:val="28"/>
        </w:rPr>
        <w:t>商品和服务支出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1720.43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ascii="仿宋" w:hAnsi="仿宋" w:eastAsia="仿宋" w:cs="Times New Roman"/>
          <w:sz w:val="28"/>
          <w:szCs w:val="28"/>
        </w:rPr>
        <w:t>对个人和家庭的补助支出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174.20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，其他资本性支出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147万元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  <w:r>
        <w:rPr>
          <w:rFonts w:ascii="仿宋" w:hAnsi="仿宋" w:eastAsia="仿宋" w:cs="Times New Roman"/>
          <w:sz w:val="28"/>
          <w:szCs w:val="28"/>
        </w:rPr>
        <w:t>项目支出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1704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>
      <w:pPr>
        <w:snapToGrid w:val="0"/>
        <w:spacing w:line="588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四、2016年“三公”经费预算情况</w:t>
      </w:r>
    </w:p>
    <w:p>
      <w:pPr>
        <w:snapToGrid w:val="0"/>
        <w:spacing w:line="588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2016年“三公”经费预算总额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38.5</w:t>
      </w:r>
      <w:r>
        <w:rPr>
          <w:rFonts w:ascii="仿宋" w:hAnsi="仿宋" w:eastAsia="仿宋" w:cs="Times New Roman"/>
          <w:sz w:val="28"/>
          <w:szCs w:val="28"/>
        </w:rPr>
        <w:t>万元,比2015年“三公”经费预算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降低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40%， </w:t>
      </w:r>
      <w:r>
        <w:rPr>
          <w:rFonts w:ascii="仿宋" w:hAnsi="仿宋" w:eastAsia="仿宋" w:cs="Times New Roman"/>
          <w:sz w:val="28"/>
          <w:szCs w:val="28"/>
        </w:rPr>
        <w:t>主要是由于公车改革而减少了公务用车运行维护费。其中:因公出国(境)费用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14</w:t>
      </w:r>
      <w:r>
        <w:rPr>
          <w:rFonts w:ascii="仿宋" w:hAnsi="仿宋" w:eastAsia="仿宋" w:cs="Times New Roman"/>
          <w:sz w:val="28"/>
          <w:szCs w:val="28"/>
        </w:rPr>
        <w:t>万元、公务接待费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</w:t>
      </w:r>
      <w:r>
        <w:rPr>
          <w:rFonts w:ascii="仿宋" w:hAnsi="仿宋" w:eastAsia="仿宋" w:cs="Times New Roman"/>
          <w:sz w:val="28"/>
          <w:szCs w:val="28"/>
        </w:rPr>
        <w:t>万元、公务用车运行维护费16.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ascii="仿宋" w:hAnsi="仿宋" w:eastAsia="仿宋" w:cs="Times New Roman"/>
          <w:sz w:val="28"/>
          <w:szCs w:val="28"/>
        </w:rPr>
        <w:t>万元</w:t>
      </w:r>
      <w:bookmarkStart w:id="0" w:name="_GoBack"/>
      <w:bookmarkEnd w:id="0"/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419F5"/>
    <w:rsid w:val="00027F1F"/>
    <w:rsid w:val="00184638"/>
    <w:rsid w:val="003419F5"/>
    <w:rsid w:val="00920EEC"/>
    <w:rsid w:val="00A76881"/>
    <w:rsid w:val="00B7002F"/>
    <w:rsid w:val="211A595D"/>
    <w:rsid w:val="26307BB3"/>
    <w:rsid w:val="51E6586D"/>
    <w:rsid w:val="57A027D0"/>
    <w:rsid w:val="5DBF7B20"/>
    <w:rsid w:val="64E65F95"/>
    <w:rsid w:val="653B6D24"/>
    <w:rsid w:val="6FAB29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201</Words>
  <Characters>1151</Characters>
  <Lines>9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2016-02-24T01:22:00Z</dcterms:created>
  <dc:creator>Lenovo</dc:creator>
  <cp:lastModifiedBy>汪虹希</cp:lastModifiedBy>
  <dcterms:modified xsi:type="dcterms:W3CDTF">2016-02-24T01:44:40Z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